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12"/>
        <w:jc w:val="center"/>
      </w:pPr>
      <w:r>
        <w:rPr>
          <w:rFonts w:ascii="Malgun Gothic" w:cs="Malgun Gothic" w:eastAsia="Malgun Gothic" w:hAnsi="Malgun Gothic"/>
          <w:b/>
          <w:bCs/>
          <w:i w:val="false"/>
          <w:iCs w:val="false"/>
          <w:sz w:val="40"/>
          <w:szCs w:val="40"/>
        </w:rPr>
        <w:t xml:space="preserve">실험 보고서</w:t>
      </w:r>
    </w:p>
    <w:p>
      <w:pPr>
        <w:spacing w:after="200" w:line="312"/>
        <w:jc w:val="center"/>
      </w:pPr>
      <w:r>
        <w:rPr>
          <w:rFonts w:ascii="Malgun Gothic" w:cs="Malgun Gothic" w:eastAsia="Malgun Gothic" w:hAnsi="Malgun Gothic"/>
          <w:b/>
          <w:bCs/>
          <w:i w:val="false"/>
          <w:iCs w:val="false"/>
          <w:sz w:val="32"/>
          <w:szCs w:val="32"/>
        </w:rPr>
        <w:t xml:space="preserve">Redox Titration (산화 환원 적정 (공개 예시))</w:t>
      </w:r>
    </w:p>
    <w:p>
      <w:pPr>
        <w:spacing w:after="200" w:line="312"/>
        <w:jc w:val="right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2"/>
          <w:szCs w:val="22"/>
        </w:rPr>
        <w:t xml:space="preserve">날짜 : 2026-01-15</w:t>
      </w:r>
    </w:p>
    <w:p>
      <w:pPr>
        <w:spacing w:after="120" w:line="312"/>
      </w:pPr>
      <w:r>
        <w:rPr>
          <w:rFonts w:ascii="Malgun Gothic" w:cs="Malgun Gothic" w:eastAsia="Malgun Gothic" w:hAnsi="Malgun Gothic"/>
          <w:b/>
          <w:bCs/>
          <w:i w:val="false"/>
          <w:iCs w:val="false"/>
          <w:sz w:val="32"/>
          <w:szCs w:val="32"/>
        </w:rPr>
        <w:t xml:space="preserve">1. 실험목표</w:t>
      </w:r>
    </w:p>
    <w:p>
      <w:pPr>
        <w:spacing w:after="80" w:line="312"/>
      </w:pPr>
      <w:r>
        <w:rPr>
          <w:rFonts w:ascii="Malgun Gothic" w:cs="Malgun Gothic" w:eastAsia="Malgun Gothic" w:hAnsi="Malgun Gothic"/>
          <w:b/>
          <w:bCs/>
          <w:i w:val="false"/>
          <w:iCs w:val="false"/>
          <w:sz w:val="26"/>
          <w:szCs w:val="26"/>
        </w:rPr>
        <w:t xml:space="preserve">가. 실험목표</w:t>
      </w:r>
    </w:p>
    <w:p>
      <w:pPr>
        <w:spacing w:after="80" w:line="312"/>
        <w:ind w:left="283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2"/>
          <w:szCs w:val="22"/>
        </w:rPr>
        <w:t xml:space="preserve">(1) 과망간산 이온의 산화력을 정량적으로 확인한다.</w:t>
      </w:r>
    </w:p>
    <w:p>
      <w:r>
        <w:t xml:space="preserve"/>
      </w:r>
    </w:p>
    <w:p>
      <w:pPr>
        <w:spacing w:after="120" w:line="312"/>
      </w:pPr>
      <w:r>
        <w:rPr>
          <w:rFonts w:ascii="Malgun Gothic" w:cs="Malgun Gothic" w:eastAsia="Malgun Gothic" w:hAnsi="Malgun Gothic"/>
          <w:b/>
          <w:bCs/>
          <w:i w:val="false"/>
          <w:iCs w:val="false"/>
          <w:sz w:val="32"/>
          <w:szCs w:val="32"/>
        </w:rPr>
        <w:t xml:space="preserve">2. 이론적 배경과 원리</w:t>
      </w:r>
    </w:p>
    <w:p>
      <w:pPr>
        <w:spacing w:after="80" w:line="312"/>
      </w:pPr>
      <w:r>
        <w:rPr>
          <w:rFonts w:ascii="Malgun Gothic" w:cs="Malgun Gothic" w:eastAsia="Malgun Gothic" w:hAnsi="Malgun Gothic"/>
          <w:b/>
          <w:bCs/>
          <w:i w:val="false"/>
          <w:iCs w:val="false"/>
          <w:sz w:val="26"/>
          <w:szCs w:val="26"/>
        </w:rPr>
        <w:t xml:space="preserve">가. 산화 환원 반응</w:t>
      </w:r>
    </w:p>
    <w:p>
      <w:pPr>
        <w:spacing w:after="100" w:line="312"/>
        <w:ind w:left="283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2"/>
          <w:szCs w:val="22"/>
        </w:rPr>
        <w:t xml:space="preserve">(1) 산화 환원 반응에서는 전자의 이동으로 산화수가 변한다.</w:t>
      </w:r>
    </w:p>
    <w:p>
      <w:pPr>
        <w:spacing w:after="100" w:line="312"/>
        <w:ind w:left="283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2"/>
          <w:szCs w:val="22"/>
        </w:rPr>
        <w:t xml:space="preserve">(2) 과망간산 이온의 환원 반쪽 반응은 MnO_4^- + 8H^+ + 5e^- = Mn^2+ + 4H_2O 로 표현된다.</w:t>
      </w:r>
    </w:p>
    <w:tbl>
      <w:tblPr>
        <w:tblW w:type="pct" w:w="100%"/>
        <w:tblBorders>
          <w:top w:val="dashed" w:color="888888" w:sz="6"/>
          <w:left w:val="dashed" w:color="888888" w:sz="6"/>
          <w:bottom w:val="dashed" w:color="888888" w:sz="6"/>
          <w:right w:val="dashed" w:color="888888" w:sz="6"/>
          <w:insideH w:val="none" w:color="auto" w:sz="0"/>
          <w:insideV w:val="none" w:color="auto" w:sz="0"/>
        </w:tblBorders>
      </w:tblPr>
      <w:tblGrid>
        <w:gridCol w:w="100"/>
      </w:tblGrid>
      <w:tr>
        <w:tc>
          <w:tcPr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pPr>
              <w:spacing w:after="80" w:line="312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/>
                <w:iCs/>
                <w:sz w:val="20"/>
                <w:szCs w:val="20"/>
              </w:rPr>
              <w:t xml:space="preserve">[그림 1] 적정 장치 - 뷰렛, 스탠드, 삼각 플라스크가 배치된 적정 장치 모습</w:t>
            </w:r>
          </w:p>
          <w:p>
            <w:pPr>
              <w:spacing w:after="40" w:line="312"/>
              <w:jc w:val="center"/>
            </w:pPr>
            <w:r>
              <w:rPr>
                <w:rFonts w:ascii="Malgun Gothic" w:cs="Malgun Gothic" w:eastAsia="Malgun Gothic" w:hAnsi="Malgun Gothic"/>
                <w:sz w:val="18"/>
                <w:szCs w:val="18"/>
              </w:rPr>
              <w:t xml:space="preserve">🔎 Google 이미지 검색: </w:t>
            </w:r>
            <w:hyperlink w:history="1" r:id="rId0cel99b1ffst71feu_wmt">
              <w:r>
                <w:rPr>
                  <w:rFonts w:ascii="Malgun Gothic" w:cs="Malgun Gothic" w:eastAsia="Malgun Gothic" w:hAnsi="Malgun Gothic"/>
                  <w:color w:val="0563C1"/>
                  <w:sz w:val="18"/>
                  <w:szCs w:val="18"/>
                  <w:u w:val="single"/>
                </w:rPr>
                <w:t xml:space="preserve">"titration setup buret flask"</w:t>
              </w:r>
            </w:hyperlink>
          </w:p>
        </w:tc>
      </w:tr>
    </w:tbl>
    <w:p>
      <w:r>
        <w:t xml:space="preserve"/>
      </w:r>
    </w:p>
    <w:p>
      <w:r>
        <w:t xml:space="preserve"/>
      </w:r>
    </w:p>
    <w:p>
      <w:pPr>
        <w:spacing w:after="120" w:line="312"/>
      </w:pPr>
      <w:r>
        <w:rPr>
          <w:rFonts w:ascii="Malgun Gothic" w:cs="Malgun Gothic" w:eastAsia="Malgun Gothic" w:hAnsi="Malgun Gothic"/>
          <w:b/>
          <w:bCs/>
          <w:i w:val="false"/>
          <w:iCs w:val="false"/>
          <w:sz w:val="32"/>
          <w:szCs w:val="32"/>
        </w:rPr>
        <w:t xml:space="preserve">3. 실험 기구 및 시약</w:t>
      </w:r>
    </w:p>
    <w:p>
      <w:pPr>
        <w:spacing w:after="80" w:line="312"/>
      </w:pPr>
      <w:r>
        <w:rPr>
          <w:rFonts w:ascii="Malgun Gothic" w:cs="Malgun Gothic" w:eastAsia="Malgun Gothic" w:hAnsi="Malgun Gothic"/>
          <w:b/>
          <w:bCs/>
          <w:i w:val="false"/>
          <w:iCs w:val="false"/>
          <w:sz w:val="26"/>
          <w:szCs w:val="26"/>
        </w:rPr>
        <w:t xml:space="preserve">가. 실험 기구</w:t>
      </w:r>
    </w:p>
    <w:p>
      <w:pPr>
        <w:spacing w:after="80" w:line="312"/>
        <w:ind w:left="283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2"/>
          <w:szCs w:val="22"/>
        </w:rPr>
        <w:t xml:space="preserve">(1) </w:t>
      </w:r>
      <w:r>
        <w:rPr>
          <w:rFonts w:ascii="Malgun Gothic" w:cs="Malgun Gothic" w:eastAsia="Malgun Gothic" w:hAnsi="Malgun Gothic"/>
          <w:b/>
          <w:bCs/>
          <w:i w:val="false"/>
          <w:iCs w:val="false"/>
          <w:sz w:val="22"/>
          <w:szCs w:val="22"/>
        </w:rPr>
        <w:t xml:space="preserve">뷰렛</w:t>
      </w: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2"/>
          <w:szCs w:val="22"/>
        </w:rPr>
        <w:t xml:space="preserve"> (Buret): 50 mL, 최소 눈금 0.1 mL</w:t>
      </w:r>
    </w:p>
    <w:p>
      <w:r>
        <w:t xml:space="preserve"/>
      </w:r>
    </w:p>
    <w:p>
      <w:pPr>
        <w:spacing w:after="80" w:line="312"/>
      </w:pPr>
      <w:r>
        <w:rPr>
          <w:rFonts w:ascii="Malgun Gothic" w:cs="Malgun Gothic" w:eastAsia="Malgun Gothic" w:hAnsi="Malgun Gothic"/>
          <w:b/>
          <w:bCs/>
          <w:i w:val="false"/>
          <w:iCs w:val="false"/>
          <w:sz w:val="26"/>
          <w:szCs w:val="26"/>
        </w:rPr>
        <w:t xml:space="preserve">나. 시약</w:t>
      </w:r>
    </w:p>
    <w:p>
      <w:pPr>
        <w:spacing w:after="40" w:line="312"/>
        <w:ind w:left="283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2"/>
          <w:szCs w:val="22"/>
        </w:rPr>
        <w:t xml:space="preserve">(1) </w:t>
      </w:r>
      <w:r>
        <w:rPr>
          <w:rFonts w:ascii="Malgun Gothic" w:cs="Malgun Gothic" w:eastAsia="Malgun Gothic" w:hAnsi="Malgun Gothic"/>
          <w:b/>
          <w:bCs/>
          <w:i w:val="false"/>
          <w:iCs w:val="false"/>
          <w:sz w:val="22"/>
          <w:szCs w:val="22"/>
        </w:rPr>
        <w:t xml:space="preserve">과망간산 칼륨</w:t>
      </w: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2"/>
          <w:szCs w:val="22"/>
        </w:rPr>
        <w:t xml:space="preserve"> (Potassium permanganate, KMnO4)</w:t>
      </w:r>
    </w:p>
    <w:p>
      <w:pPr>
        <w:spacing w:after="20" w:line="312"/>
        <w:ind w:left="566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2"/>
          <w:szCs w:val="22"/>
        </w:rPr>
        <w:t xml:space="preserve">· 몰질량: 158.03 g/mol</w:t>
      </w:r>
    </w:p>
    <w:p>
      <w:pPr>
        <w:spacing w:after="20" w:line="312"/>
        <w:ind w:left="566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2"/>
          <w:szCs w:val="22"/>
        </w:rPr>
        <w:t xml:space="preserve">· 녹는점/끓는점: 약 240 C에서 분해</w:t>
      </w:r>
    </w:p>
    <w:p>
      <w:pPr>
        <w:spacing w:after="20" w:line="312"/>
        <w:ind w:left="566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2"/>
          <w:szCs w:val="22"/>
        </w:rPr>
        <w:t xml:space="preserve">· 밀도: 2.70 g/cm3 (20 C)</w:t>
      </w:r>
    </w:p>
    <w:p>
      <w:pPr>
        <w:spacing w:after="20" w:line="312"/>
        <w:ind w:left="566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2"/>
          <w:szCs w:val="22"/>
        </w:rPr>
        <w:t xml:space="preserve">· 주요 특성: 짙은 보라색 결정, 강한 산화제</w:t>
      </w:r>
    </w:p>
    <w:p>
      <w:pPr>
        <w:spacing w:after="100" w:line="312"/>
        <w:ind w:left="566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2"/>
          <w:szCs w:val="22"/>
        </w:rPr>
        <w:t xml:space="preserve">· 독성/취급: 피부, 눈 접촉 주의</w:t>
      </w:r>
    </w:p>
    <w:p>
      <w:r>
        <w:t xml:space="preserve"/>
      </w:r>
    </w:p>
    <w:p>
      <w:pPr>
        <w:spacing w:after="80" w:line="312"/>
      </w:pPr>
      <w:r>
        <w:rPr>
          <w:rFonts w:ascii="Malgun Gothic" w:cs="Malgun Gothic" w:eastAsia="Malgun Gothic" w:hAnsi="Malgun Gothic"/>
          <w:b/>
          <w:bCs/>
          <w:i w:val="false"/>
          <w:iCs w:val="false"/>
          <w:sz w:val="22"/>
          <w:szCs w:val="22"/>
        </w:rPr>
        <w:t xml:space="preserve">[표 1] 시약 요약</w:t>
      </w:r>
    </w:p>
    <w:tbl>
      <w:tblPr>
        <w:tblW w:type="pct" w:w="100%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i w:val="false"/>
                <w:iCs w:val="false"/>
                <w:sz w:val="20"/>
                <w:szCs w:val="20"/>
              </w:rPr>
              <w:t xml:space="preserve">시약</w:t>
            </w:r>
          </w:p>
        </w:tc>
        <w:tc>
          <w:tcPr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i w:val="false"/>
                <w:iCs w:val="false"/>
                <w:sz w:val="20"/>
                <w:szCs w:val="20"/>
              </w:rPr>
              <w:t xml:space="preserve">화학식</w:t>
            </w:r>
          </w:p>
        </w:tc>
        <w:tc>
          <w:tcPr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i w:val="false"/>
                <w:iCs w:val="false"/>
                <w:sz w:val="20"/>
                <w:szCs w:val="20"/>
              </w:rPr>
              <w:t xml:space="preserve">몰질량(g/mol)</w:t>
            </w:r>
          </w:p>
        </w:tc>
        <w:tc>
          <w:tcPr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i w:val="false"/>
                <w:iCs w:val="false"/>
                <w:sz w:val="20"/>
                <w:szCs w:val="20"/>
              </w:rPr>
              <w:t xml:space="preserve">녹는점/끓는점</w:t>
            </w:r>
          </w:p>
        </w:tc>
        <w:tc>
          <w:tcPr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i w:val="false"/>
                <w:iCs w:val="false"/>
                <w:sz w:val="20"/>
                <w:szCs w:val="20"/>
              </w:rPr>
              <w:t xml:space="preserve">주요 특성</w:t>
            </w:r>
          </w:p>
        </w:tc>
      </w:tr>
      <w:tr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과망간산 칼륨</w:t>
            </w:r>
          </w:p>
        </w:tc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KMnO4</w:t>
            </w:r>
          </w:p>
        </w:tc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158.03 g/mol</w:t>
            </w:r>
          </w:p>
        </w:tc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약 240 C에서 분해</w:t>
            </w:r>
          </w:p>
        </w:tc>
        <w:tc>
          <w:tcPr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강한 산화제</w:t>
            </w:r>
          </w:p>
        </w:tc>
      </w:tr>
    </w:tbl>
    <w:p>
      <w:r>
        <w:t xml:space="preserve"/>
      </w:r>
    </w:p>
    <w:p>
      <w:pPr>
        <w:spacing w:after="120" w:line="312"/>
      </w:pPr>
      <w:r>
        <w:rPr>
          <w:rFonts w:ascii="Malgun Gothic" w:cs="Malgun Gothic" w:eastAsia="Malgun Gothic" w:hAnsi="Malgun Gothic"/>
          <w:b/>
          <w:bCs/>
          <w:i w:val="false"/>
          <w:iCs w:val="false"/>
          <w:sz w:val="32"/>
          <w:szCs w:val="32"/>
        </w:rPr>
        <w:t xml:space="preserve">4. 실험 과정</w:t>
      </w:r>
    </w:p>
    <w:p>
      <w:pPr>
        <w:spacing w:after="80" w:line="312"/>
      </w:pPr>
      <w:r>
        <w:rPr>
          <w:rFonts w:ascii="Malgun Gothic" w:cs="Malgun Gothic" w:eastAsia="Malgun Gothic" w:hAnsi="Malgun Gothic"/>
          <w:b/>
          <w:bCs/>
          <w:i w:val="false"/>
          <w:iCs w:val="false"/>
          <w:sz w:val="26"/>
          <w:szCs w:val="26"/>
        </w:rPr>
        <w:t xml:space="preserve">가. 적정 준비 및 수행</w:t>
      </w:r>
    </w:p>
    <w:p>
      <w:pPr>
        <w:spacing w:after="60" w:line="312"/>
        <w:ind w:left="283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2"/>
          <w:szCs w:val="22"/>
        </w:rPr>
        <w:t xml:space="preserve">(1) 뷰렛에 표준 용액을 채운다.</w:t>
      </w:r>
    </w:p>
    <w:p>
      <w:pPr>
        <w:spacing w:after="40" w:line="312"/>
        <w:ind w:left="566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2"/>
          <w:szCs w:val="22"/>
        </w:rPr>
        <w:t xml:space="preserve">- 기포를 제거한다.</w:t>
      </w:r>
    </w:p>
    <w:p>
      <w:pPr>
        <w:spacing w:after="60" w:line="312"/>
        <w:ind w:left="283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2"/>
          <w:szCs w:val="22"/>
        </w:rPr>
        <w:t xml:space="preserve">(2) 종말점에서 옅은 분홍색이 30초 이상 유지되는지 확인한다.</w:t>
      </w:r>
    </w:p>
    <w:p>
      <w:r>
        <w:t xml:space="preserve"/>
      </w:r>
    </w:p>
    <w:p>
      <w:pPr>
        <w:spacing w:after="120" w:line="312"/>
      </w:pPr>
      <w:r>
        <w:rPr>
          <w:rFonts w:ascii="Malgun Gothic" w:cs="Malgun Gothic" w:eastAsia="Malgun Gothic" w:hAnsi="Malgun Gothic"/>
          <w:b/>
          <w:bCs/>
          <w:i w:val="false"/>
          <w:iCs w:val="false"/>
          <w:sz w:val="32"/>
          <w:szCs w:val="32"/>
        </w:rPr>
        <w:t xml:space="preserve">참고문헌</w:t>
      </w:r>
    </w:p>
    <w:p>
      <w:pPr>
        <w:spacing w:after="80" w:line="312"/>
        <w:ind w:left="283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0"/>
          <w:szCs w:val="20"/>
        </w:rPr>
        <w:t xml:space="preserve">[1] {"label":"일반화학실험 표준 교재 (합성 예시 자료)"}</w:t>
      </w:r>
    </w:p>
    <w:p>
      <w:r>
        <w:t xml:space="preserve"/>
      </w:r>
    </w:p>
    <w:sectPr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Malgun Gothic" w:hAnsi="Malgun Gothic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cel99b1ffst71feu_wmt" Type="http://schemas.openxmlformats.org/officeDocument/2006/relationships/hyperlink" Target="https://www.google.com/search?tbm=isch&amp;q=titration%20setup%20buret%20flask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산화 환원 적정 (공개 예시)</dc:title>
  <dc:creator>Chem Pre-Lab Generator</dc:creator>
  <cp:lastModifiedBy>Un-named</cp:lastModifiedBy>
  <cp:revision>1</cp:revision>
  <dcterms:created xsi:type="dcterms:W3CDTF">2026-07-12T13:38:46.298Z</dcterms:created>
  <dcterms:modified xsi:type="dcterms:W3CDTF">2026-07-12T13:38:46.299Z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